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C3" w:rsidRPr="00F43AC3" w:rsidRDefault="00F43AC3" w:rsidP="00F43AC3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F43AC3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F43AC3" w:rsidRPr="00F43AC3" w:rsidRDefault="00F43AC3" w:rsidP="00F43AC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F43AC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Объединить несколько земельных участков в один – просто!</w:t>
      </w:r>
    </w:p>
    <w:p w:rsidR="00F43AC3" w:rsidRPr="003F2299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F43AC3" w:rsidRPr="00F43AC3" w:rsidRDefault="00B867D2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 разъясняет: д</w:t>
      </w:r>
      <w:r w:rsidR="00F43AC3" w:rsidRPr="00F43AC3">
        <w:rPr>
          <w:rFonts w:ascii="Segoe UI" w:eastAsia="Times New Roman" w:hAnsi="Segoe UI" w:cs="Segoe UI"/>
          <w:sz w:val="24"/>
          <w:szCs w:val="24"/>
          <w:lang w:eastAsia="ru-RU"/>
        </w:rPr>
        <w:t>ля объединения любых смежных земельных участков в один необходимо сначала обратиться к кадастровому инженеру с целью проведения межевания объединяемых земельных участков.</w:t>
      </w:r>
    </w:p>
    <w:p w:rsidR="003F2299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Кадастровый инженер установит границы образующегося земельного участка и составит межевой план.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После составления межевого плана необходимо подать документы на кадастровый учет и регистрацию права образованного земельного участка. Сделать это можно в любом офисе МФЦ. 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В случае если земельный участок находится в другом регионе (за пределами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Воронежской области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) заявле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ние и документы подаются в офис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Кадастровой палаты, которы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й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вед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ет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прием документов по экстерриториальному принципу. Необходимы следующие документы:</w:t>
      </w:r>
    </w:p>
    <w:p w:rsidR="00F43AC3" w:rsidRPr="00F43AC3" w:rsidRDefault="00F43AC3" w:rsidP="00F43AC3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заявление о государственном кадастровом учете и государственной регистрации;</w:t>
      </w:r>
    </w:p>
    <w:p w:rsidR="00F43AC3" w:rsidRPr="00F43AC3" w:rsidRDefault="00F43AC3" w:rsidP="00F43AC3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межевой план;</w:t>
      </w:r>
    </w:p>
    <w:p w:rsidR="00F43AC3" w:rsidRPr="00F43AC3" w:rsidRDefault="00F43AC3" w:rsidP="00F43AC3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правоустанавливающие документы на исходные земельные участки, если право на участки ранее не было зарегистрировано в Едином государственном реестре недвижимости.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За кадастровый учет плата не взимается. Однако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за регистрацию права собственности физического лица на земельный участок, предназначенный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необходимо 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платить госпошлину — 350 руб.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Срок государственного кадастрового учета и государственной регистрации прав составляет 12 рабочих дней со дня приема заявления и документов МФЦ, а в случае представления заявления и документов в офис Кадастровой палаты 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по Воронежской области (</w:t>
      </w:r>
      <w:r w:rsidR="003F2299" w:rsidRPr="00F43AC3">
        <w:rPr>
          <w:rFonts w:ascii="Segoe UI" w:eastAsia="Times New Roman" w:hAnsi="Segoe UI" w:cs="Segoe UI"/>
          <w:sz w:val="24"/>
          <w:szCs w:val="24"/>
          <w:lang w:eastAsia="ru-RU"/>
        </w:rPr>
        <w:t>по экстерриториальному принципу</w:t>
      </w:r>
      <w:r w:rsidR="003F2299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="003F2299"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— 10 рабочих дней.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Одновременно с кадастровым учетом и регистрацией права собственности на новый участок будет осуществлено снятие с кадастрового учета и зарегистрировано прекращение прав на исходные земельные участки.</w:t>
      </w:r>
    </w:p>
    <w:p w:rsidR="00F43AC3" w:rsidRPr="00F43AC3" w:rsidRDefault="00F43AC3" w:rsidP="00F43AC3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 xml:space="preserve">После завершения государственной регистрации в подтверждение права собственности на новый земельный участок будет выдана выписка из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Реестра недвижимости</w:t>
      </w:r>
      <w:r w:rsidRPr="00F43AC3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F43AC3" w:rsidRPr="003F2299" w:rsidRDefault="00F43AC3" w:rsidP="00F43AC3">
      <w:pPr>
        <w:spacing w:after="0" w:line="240" w:lineRule="auto"/>
        <w:rPr>
          <w:rFonts w:ascii="Segoe UI" w:hAnsi="Segoe UI" w:cs="Segoe UI"/>
          <w:b/>
          <w:sz w:val="4"/>
          <w:szCs w:val="4"/>
        </w:rPr>
      </w:pP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F43AC3" w:rsidRPr="00905649" w:rsidRDefault="00F43AC3" w:rsidP="00F43AC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E175C" w:rsidRPr="003F2299" w:rsidRDefault="00F43AC3" w:rsidP="003F229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3F2299" w:rsidSect="00F43A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43AC3"/>
    <w:rsid w:val="0030420C"/>
    <w:rsid w:val="003C3DF8"/>
    <w:rsid w:val="003F2299"/>
    <w:rsid w:val="006122B1"/>
    <w:rsid w:val="00614544"/>
    <w:rsid w:val="00713F0B"/>
    <w:rsid w:val="008039C9"/>
    <w:rsid w:val="00B867D2"/>
    <w:rsid w:val="00BD4251"/>
    <w:rsid w:val="00CD4D4D"/>
    <w:rsid w:val="00E17C9F"/>
    <w:rsid w:val="00F4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F43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43AC3"/>
  </w:style>
  <w:style w:type="character" w:styleId="a3">
    <w:name w:val="Hyperlink"/>
    <w:basedOn w:val="a0"/>
    <w:uiPriority w:val="99"/>
    <w:semiHidden/>
    <w:unhideWhenUsed/>
    <w:rsid w:val="00F43AC3"/>
    <w:rPr>
      <w:color w:val="0000FF"/>
      <w:u w:val="single"/>
    </w:rPr>
  </w:style>
  <w:style w:type="character" w:customStyle="1" w:styleId="byline">
    <w:name w:val="byline"/>
    <w:basedOn w:val="a0"/>
    <w:rsid w:val="00F43AC3"/>
  </w:style>
  <w:style w:type="character" w:customStyle="1" w:styleId="author">
    <w:name w:val="author"/>
    <w:basedOn w:val="a0"/>
    <w:rsid w:val="00F43AC3"/>
  </w:style>
  <w:style w:type="character" w:customStyle="1" w:styleId="cat-links">
    <w:name w:val="cat-links"/>
    <w:basedOn w:val="a0"/>
    <w:rsid w:val="00F43AC3"/>
  </w:style>
  <w:style w:type="paragraph" w:styleId="a4">
    <w:name w:val="Normal (Web)"/>
    <w:basedOn w:val="a"/>
    <w:uiPriority w:val="99"/>
    <w:semiHidden/>
    <w:unhideWhenUsed/>
    <w:rsid w:val="00F4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2018-08-27T08:20:00Z</cp:lastPrinted>
  <dcterms:created xsi:type="dcterms:W3CDTF">2024-05-27T12:54:00Z</dcterms:created>
  <dcterms:modified xsi:type="dcterms:W3CDTF">2024-05-27T12:54:00Z</dcterms:modified>
</cp:coreProperties>
</file>